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3C" w:rsidRDefault="008A5DC1" w:rsidP="008A5DC1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>1.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تأثیر رژیم غذایی دش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(DASH)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 xml:space="preserve">بر میزان عود و شدت علائم واژینوز باکتریایی در زنان تحت درمان با مترونیدازول، مراجعه کننده به درمانگاه زنان بیمارستان دکتر علی شریعتی شهرستان بندرعباس در سال های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  <w:lang w:bidi="fa-IR"/>
        </w:rPr>
        <w:t xml:space="preserve">۱۴۰۵-۱۴۰۴: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یک کارآزمایی بالینی شاهددار تصادفی</w:t>
      </w:r>
    </w:p>
    <w:p w:rsidR="008A5DC1" w:rsidRDefault="008A5DC1" w:rsidP="008A5DC1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>2.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دقت، حساسیت و اختصاصیت شاخص های تن سنجی پیچیده نوین و مقایسه آن با شاخص های تن سنجی ساده در تشخیص و پیش بینی کبد چرب غیرالکلی و فیبروز کبدی</w:t>
      </w:r>
    </w:p>
    <w:p w:rsidR="008A5DC1" w:rsidRDefault="008A5DC1" w:rsidP="008A5DC1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>3.</w:t>
      </w:r>
      <w:r w:rsidR="009D250A" w:rsidRPr="009D250A"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 xml:space="preserve"> </w:t>
      </w:r>
      <w:r w:rsidR="009D250A"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شاخص التهابی رژیم غذایی با کمیت خواب در بزرگسالان ساکن بندر 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4.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شاخص گلایسمی و بار گلایسمی رژیم غذایی با کمیت خواب در بزرگسالان بندرکنگ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>5.</w:t>
      </w:r>
      <w:r w:rsidRPr="009D250A"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مصرف مهیاوه و سوراغ با ریسک فاکتورهای قلبی-عروقی در بزرگسالان ساکن بندر 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>6.</w:t>
      </w:r>
      <w:r w:rsidRPr="009D250A"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شاخص التهاب رژیم غذایی با شانس ابتلا به کبد چرب غیر الکلی و سطوح آنزیم‌های کبدی در بزرگسالان ساکن بندر 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7.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شاخص گلایسمی و بار گلایسمی رژیم غذایی با شانس ابتلا به کبد چرب غیرالکلی و سطوح آنزیم‌های کبدی در بزرگسالان ساکن بندر 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8.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شاخص گلایسمی و بار گلایسمی رژیم غذایی با شانس ابتلا به سندرم متابولیک و اجزای آن در شرکت کنندگان مطالعه کوهورت بندرکنگ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9.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دریافت روغن پالم با شانس ابتلا به سندرم متابولیک و اجزای آن در افراد شرکت کننده در مطالعه کوهورت بندرکنگ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10.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مرور سیستماتیک سیستم های نانولیپوزومال القا کننده ی مرگ سلولی ایمونوژنیک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(ICD)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در انواع سرطان ها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11.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الگوهای غذایی پیشین با شانس ابتلا به کبد چرب غیر الکلی و سطوح آنزیم‌های کبدی در بزرگسالان ساکن بندر 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 xml:space="preserve">12.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ارتباط الگوهای غذایی پیشین با کمیت خواب در بزرگسالان ساکن بندر کنگ</w:t>
      </w:r>
    </w:p>
    <w:p w:rsidR="009D250A" w:rsidRDefault="009D250A" w:rsidP="009D250A">
      <w:pPr>
        <w:bidi/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666666"/>
          <w:sz w:val="21"/>
          <w:szCs w:val="21"/>
          <w:shd w:val="clear" w:color="auto" w:fill="FFFFFF"/>
          <w:rtl/>
        </w:rPr>
        <w:t>13.</w:t>
      </w:r>
      <w:r w:rsidRPr="009D250A"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 xml:space="preserve">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بررسی برهمکنش دریافت روغن های خوراکی کنجد، کانولا و کنجد-کانولا با پلی مورفیسم ژن های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CETP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 xml:space="preserve">، </w:t>
      </w:r>
      <w:proofErr w:type="spellStart"/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>ApoA</w:t>
      </w:r>
      <w:proofErr w:type="spellEnd"/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  <w:lang w:bidi="fa-IR"/>
        </w:rPr>
        <w:t>۱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و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>ApoE</w:t>
      </w:r>
      <w:proofErr w:type="spellEnd"/>
      <w:r>
        <w:rPr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color w:val="666666"/>
          <w:sz w:val="21"/>
          <w:szCs w:val="21"/>
          <w:shd w:val="clear" w:color="auto" w:fill="FFFFFF"/>
          <w:rtl/>
        </w:rPr>
        <w:t>بر سطوح پروفایل لیپیدی، شاخص های گلایسمیک و مقاومت انسولینی در بین بیماران مبتلا به دیابت نوع دو و همسرانشان</w:t>
      </w:r>
    </w:p>
    <w:p w:rsidR="009D250A" w:rsidRDefault="009D250A" w:rsidP="009D250A">
      <w:pPr>
        <w:bidi/>
      </w:pPr>
      <w:bookmarkStart w:id="0" w:name="_GoBack"/>
      <w:bookmarkEnd w:id="0"/>
    </w:p>
    <w:sectPr w:rsidR="009D2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8B"/>
    <w:rsid w:val="00453A3C"/>
    <w:rsid w:val="008A5DC1"/>
    <w:rsid w:val="0091067E"/>
    <w:rsid w:val="009D250A"/>
    <w:rsid w:val="00E4598B"/>
    <w:rsid w:val="00FC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4941"/>
  <w15:chartTrackingRefBased/>
  <w15:docId w15:val="{01CF4E8B-35E8-4EA4-B5DB-6BA9409A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2025-10-29T09:24:00Z</dcterms:created>
  <dcterms:modified xsi:type="dcterms:W3CDTF">2025-11-08T10:25:00Z</dcterms:modified>
</cp:coreProperties>
</file>